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shd w:fill="1B5E37"/>
          </w:tcPr>
          <w:p>
            <w:pPr>
              <w:spacing w:before="160" w:after="40"/>
            </w:pPr>
            <w:r>
              <w:rPr>
                <w:b/>
                <w:color w:val="FFFFFF"/>
                <w:sz w:val="34"/>
              </w:rPr>
              <w:t>Riskbedömning – autonom och fjärrstyrd gräsklippning</w:t>
            </w:r>
          </w:p>
          <w:p>
            <w:pPr>
              <w:spacing w:after="160"/>
            </w:pPr>
            <w:r>
              <w:rPr>
                <w:color w:val="D6E6DB"/>
                <w:sz w:val="19"/>
              </w:rPr>
              <w:t>Mall att använda oavsett fabrikat och maskintyp   ·   RoboService Nordic AB</w:t>
            </w:r>
          </w:p>
        </w:tc>
      </w:tr>
    </w:tbl>
    <w:p>
      <w:pPr>
        <w:spacing w:after="100"/>
      </w:pPr>
      <w:r>
        <w:rPr>
          <w:i w:val="0"/>
          <w:sz w:val="18"/>
        </w:rPr>
        <w:t>Den här mallen är ett arbetsunderlag, inte ett myndighetsformulär. Arbetsgivaren ansvarar för riskbedömningen och kan inte delegera bort det ansvaret — men ni får gärna använda vår struktur för att komma igång. Reglerna för hur arbetsutrustning ska användas finns i Arbetsmiljöverkets föreskrifter AFS 2023:11. Mallen är medvetet fabrikatsneutral och fungerar för robotgräsklippare, förarlösa åkmaskiner och radiostyrda maskiner.</w:t>
      </w:r>
    </w:p>
    <w:p>
      <w:pPr>
        <w:spacing w:before="200" w:after="80"/>
      </w:pPr>
      <w:r>
        <w:rPr>
          <w:b/>
          <w:color w:val="1B5E37"/>
          <w:sz w:val="24"/>
        </w:rPr>
        <w:t>1. Anläggning och ansvar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pPr>
              <w:spacing w:after="40"/>
            </w:pPr>
            <w:r>
              <w:rPr>
                <w:color w:val="556059"/>
                <w:sz w:val="18"/>
              </w:rPr>
              <w:t xml:space="preserve">Anläggning: </w:t>
            </w:r>
            <w:r>
              <w:rPr>
                <w:sz w:val="18"/>
                <w:u w:val="single"/>
              </w:rPr>
              <w:t xml:space="preserve">                                  </w:t>
            </w:r>
          </w:p>
        </w:tc>
        <w:tc>
          <w:tcPr>
            <w:tcW w:type="dxa" w:w="4986"/>
          </w:tcPr>
          <w:p>
            <w:pPr>
              <w:spacing w:after="40"/>
            </w:pPr>
            <w:r>
              <w:rPr>
                <w:color w:val="556059"/>
                <w:sz w:val="18"/>
              </w:rPr>
              <w:t xml:space="preserve">Adress: </w:t>
            </w:r>
            <w:r>
              <w:rPr>
                <w:sz w:val="18"/>
                <w:u w:val="single"/>
              </w:rPr>
              <w:t xml:space="preserve">                                  </w:t>
            </w:r>
          </w:p>
        </w:tc>
      </w:tr>
      <w:tr>
        <w:tc>
          <w:tcPr>
            <w:tcW w:type="dxa" w:w="4986"/>
          </w:tcPr>
          <w:p>
            <w:pPr>
              <w:spacing w:after="40"/>
            </w:pPr>
            <w:r>
              <w:rPr>
                <w:color w:val="556059"/>
                <w:sz w:val="18"/>
              </w:rPr>
              <w:t xml:space="preserve">Ansvarig för bedömningen: </w:t>
            </w:r>
            <w:r>
              <w:rPr>
                <w:sz w:val="18"/>
                <w:u w:val="single"/>
              </w:rPr>
              <w:t xml:space="preserve">                                  </w:t>
            </w:r>
          </w:p>
        </w:tc>
        <w:tc>
          <w:tcPr>
            <w:tcW w:type="dxa" w:w="4986"/>
          </w:tcPr>
          <w:p>
            <w:pPr>
              <w:spacing w:after="40"/>
            </w:pPr>
            <w:r>
              <w:rPr>
                <w:color w:val="556059"/>
                <w:sz w:val="18"/>
              </w:rPr>
              <w:t xml:space="preserve">Befattning: </w:t>
            </w:r>
            <w:r>
              <w:rPr>
                <w:sz w:val="18"/>
                <w:u w:val="single"/>
              </w:rPr>
              <w:t xml:space="preserve">                                  </w:t>
            </w:r>
          </w:p>
        </w:tc>
      </w:tr>
      <w:tr>
        <w:tc>
          <w:tcPr>
            <w:tcW w:type="dxa" w:w="4986"/>
          </w:tcPr>
          <w:p>
            <w:pPr>
              <w:spacing w:after="40"/>
            </w:pPr>
            <w:r>
              <w:rPr>
                <w:color w:val="556059"/>
                <w:sz w:val="18"/>
              </w:rPr>
              <w:t xml:space="preserve">Datum för bedömningen: </w:t>
            </w:r>
            <w:r>
              <w:rPr>
                <w:sz w:val="18"/>
                <w:u w:val="single"/>
              </w:rPr>
              <w:t xml:space="preserve">                                  </w:t>
            </w:r>
          </w:p>
        </w:tc>
        <w:tc>
          <w:tcPr>
            <w:tcW w:type="dxa" w:w="4986"/>
          </w:tcPr>
          <w:p>
            <w:pPr>
              <w:spacing w:after="40"/>
            </w:pPr>
            <w:r>
              <w:rPr>
                <w:color w:val="556059"/>
                <w:sz w:val="18"/>
              </w:rPr>
              <w:t xml:space="preserve">Nästa revidering: </w:t>
            </w:r>
            <w:r>
              <w:rPr>
                <w:sz w:val="18"/>
                <w:u w:val="single"/>
              </w:rPr>
              <w:t xml:space="preserve">                                  </w:t>
            </w:r>
          </w:p>
        </w:tc>
      </w:tr>
      <w:tr>
        <w:tc>
          <w:tcPr>
            <w:tcW w:type="dxa" w:w="4986"/>
          </w:tcPr>
          <w:p>
            <w:pPr>
              <w:spacing w:after="40"/>
            </w:pPr>
            <w:r>
              <w:rPr>
                <w:color w:val="556059"/>
                <w:sz w:val="18"/>
              </w:rPr>
              <w:t xml:space="preserve">Övriga deltagare: </w:t>
            </w:r>
            <w:r>
              <w:rPr>
                <w:sz w:val="18"/>
                <w:u w:val="single"/>
              </w:rPr>
              <w:t xml:space="preserve">                                  </w:t>
            </w:r>
          </w:p>
        </w:tc>
        <w:tc>
          <w:tcPr>
            <w:tcW w:type="dxa" w:w="4986"/>
          </w:tcPr>
          <w:p>
            <w:pPr>
              <w:spacing w:after="40"/>
            </w:pPr>
            <w:r>
              <w:rPr>
                <w:color w:val="556059"/>
                <w:sz w:val="18"/>
              </w:rPr>
              <w:t xml:space="preserve">Skyddsombud: </w:t>
            </w:r>
            <w:r>
              <w:rPr>
                <w:sz w:val="18"/>
                <w:u w:val="single"/>
              </w:rPr>
              <w:t xml:space="preserve">                                  </w:t>
            </w:r>
          </w:p>
        </w:tc>
      </w:tr>
    </w:tbl>
    <w:p>
      <w:pPr>
        <w:spacing w:before="240" w:after="80"/>
      </w:pPr>
      <w:r>
        <w:rPr>
          <w:b/>
          <w:color w:val="1B5E37"/>
          <w:sz w:val="24"/>
        </w:rPr>
        <w:t>2. Maskinen som bedöms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pPr>
              <w:spacing w:after="40"/>
            </w:pPr>
            <w:r>
              <w:rPr>
                <w:color w:val="556059"/>
                <w:sz w:val="18"/>
              </w:rPr>
              <w:t xml:space="preserve">Fabrikat: </w:t>
            </w:r>
            <w:r>
              <w:rPr>
                <w:sz w:val="18"/>
                <w:u w:val="single"/>
              </w:rPr>
              <w:t xml:space="preserve">                                  </w:t>
            </w:r>
          </w:p>
        </w:tc>
        <w:tc>
          <w:tcPr>
            <w:tcW w:type="dxa" w:w="4986"/>
          </w:tcPr>
          <w:p>
            <w:pPr>
              <w:spacing w:after="40"/>
            </w:pPr>
            <w:r>
              <w:rPr>
                <w:color w:val="556059"/>
                <w:sz w:val="18"/>
              </w:rPr>
              <w:t xml:space="preserve">Modell: </w:t>
            </w:r>
            <w:r>
              <w:rPr>
                <w:sz w:val="18"/>
                <w:u w:val="single"/>
              </w:rPr>
              <w:t xml:space="preserve">                                  </w:t>
            </w:r>
          </w:p>
        </w:tc>
      </w:tr>
      <w:tr>
        <w:tc>
          <w:tcPr>
            <w:tcW w:type="dxa" w:w="4986"/>
          </w:tcPr>
          <w:p>
            <w:pPr>
              <w:spacing w:after="40"/>
            </w:pPr>
            <w:r>
              <w:rPr>
                <w:color w:val="556059"/>
                <w:sz w:val="18"/>
              </w:rPr>
              <w:t xml:space="preserve">Serienummer: </w:t>
            </w:r>
            <w:r>
              <w:rPr>
                <w:sz w:val="18"/>
                <w:u w:val="single"/>
              </w:rPr>
              <w:t xml:space="preserve">                                  </w:t>
            </w:r>
          </w:p>
        </w:tc>
        <w:tc>
          <w:tcPr>
            <w:tcW w:type="dxa" w:w="4986"/>
          </w:tcPr>
          <w:p>
            <w:pPr>
              <w:spacing w:after="40"/>
            </w:pPr>
            <w:r>
              <w:rPr>
                <w:color w:val="556059"/>
                <w:sz w:val="18"/>
              </w:rPr>
              <w:t xml:space="preserve">Tillverkningsår: </w:t>
            </w:r>
            <w:r>
              <w:rPr>
                <w:sz w:val="18"/>
                <w:u w:val="single"/>
              </w:rPr>
              <w:t xml:space="preserve">                                  </w:t>
            </w:r>
          </w:p>
        </w:tc>
      </w:tr>
      <w:tr>
        <w:tc>
          <w:tcPr>
            <w:tcW w:type="dxa" w:w="4986"/>
          </w:tcPr>
          <w:p>
            <w:pPr>
              <w:spacing w:after="40"/>
            </w:pPr>
            <w:r>
              <w:rPr>
                <w:color w:val="556059"/>
                <w:sz w:val="18"/>
              </w:rPr>
              <w:t xml:space="preserve">Klippbredd: </w:t>
            </w:r>
            <w:r>
              <w:rPr>
                <w:sz w:val="18"/>
                <w:u w:val="single"/>
              </w:rPr>
              <w:t xml:space="preserve">                                  </w:t>
            </w:r>
          </w:p>
        </w:tc>
        <w:tc>
          <w:tcPr>
            <w:tcW w:type="dxa" w:w="4986"/>
          </w:tcPr>
          <w:p>
            <w:pPr>
              <w:spacing w:after="40"/>
            </w:pPr>
            <w:r>
              <w:rPr>
                <w:color w:val="556059"/>
                <w:sz w:val="18"/>
              </w:rPr>
              <w:t xml:space="preserve">Vikt: </w:t>
            </w:r>
            <w:r>
              <w:rPr>
                <w:sz w:val="18"/>
                <w:u w:val="single"/>
              </w:rPr>
              <w:t xml:space="preserve">                                  </w:t>
            </w:r>
          </w:p>
        </w:tc>
      </w:tr>
    </w:tbl>
    <w:p>
      <w:pPr>
        <w:spacing w:after="100"/>
      </w:pPr>
      <w:r>
        <w:rPr>
          <w:i w:val="0"/>
          <w:sz w:val="19"/>
        </w:rPr>
        <w:t>Maskintyp — kryssa i den som gäller. Valet påverkar vilka risker som är viktigast:</w:t>
      </w:r>
    </w:p>
    <w:p>
      <w:pPr>
        <w:spacing w:after="60"/>
        <w:ind w:left="170"/>
      </w:pPr>
      <w:r>
        <w:rPr>
          <w:sz w:val="24"/>
        </w:rPr>
        <w:t xml:space="preserve">☐  </w:t>
      </w:r>
      <w:r>
        <w:rPr>
          <w:sz w:val="19"/>
        </w:rPr>
        <w:t>Robotgräsklippare utan förarplats — arbetar självständigt, ingen kan sitta på maskinen</w:t>
      </w:r>
    </w:p>
    <w:p>
      <w:pPr>
        <w:spacing w:after="60"/>
        <w:ind w:left="170"/>
      </w:pPr>
      <w:r>
        <w:rPr>
          <w:sz w:val="24"/>
        </w:rPr>
        <w:t xml:space="preserve">☐  </w:t>
      </w:r>
      <w:r>
        <w:rPr>
          <w:sz w:val="19"/>
        </w:rPr>
        <w:t>Åkmaskin med förarplats som även kan köra autonomt — sits finns, maskinen kan köras manuellt eller obemannat</w:t>
      </w:r>
    </w:p>
    <w:p>
      <w:pPr>
        <w:spacing w:after="60"/>
        <w:ind w:left="170"/>
      </w:pPr>
      <w:r>
        <w:rPr>
          <w:sz w:val="24"/>
        </w:rPr>
        <w:t xml:space="preserve">☐  </w:t>
      </w:r>
      <w:r>
        <w:rPr>
          <w:sz w:val="19"/>
        </w:rPr>
        <w:t>Radiostyrd maskin — en person kör den med fjärrkontroll och står bredvid</w:t>
      </w:r>
    </w:p>
    <w:p>
      <w:pPr>
        <w:spacing w:after="60"/>
        <w:ind w:left="170"/>
      </w:pPr>
      <w:r>
        <w:rPr>
          <w:sz w:val="24"/>
        </w:rPr>
        <w:t xml:space="preserve">☐  </w:t>
      </w:r>
      <w:r>
        <w:rPr>
          <w:sz w:val="19"/>
        </w:rPr>
        <w:t>Annan typ: ______________________________________________</w:t>
      </w:r>
    </w:p>
    <w:p>
      <w:pPr>
        <w:spacing w:after="100"/>
      </w:pPr>
      <w:r>
        <w:rPr>
          <w:i/>
          <w:color w:val="556059"/>
          <w:sz w:val="18"/>
        </w:rPr>
        <w:t>Har maskinen en förarplats finns två saker till att bedöma: skyddet för den som sitter på maskinen när den körs manuellt, och vad som gäller om maskinen kan framföras som fordon. Stäm av båda med leverantören.</w:t>
      </w:r>
    </w:p>
    <w:p>
      <w:pPr>
        <w:spacing w:before="240" w:after="80"/>
      </w:pPr>
      <w:r>
        <w:rPr>
          <w:b/>
          <w:color w:val="1B5E37"/>
          <w:sz w:val="24"/>
        </w:rPr>
        <w:t>3. Dokumentationskontroll</w:t>
      </w:r>
    </w:p>
    <w:p>
      <w:pPr>
        <w:spacing w:after="100"/>
      </w:pPr>
      <w:r>
        <w:rPr>
          <w:i w:val="0"/>
          <w:sz w:val="19"/>
        </w:rPr>
        <w:t>Gör den här kontrollen innan maskinen tas i drift. Saknas något, begär det av leverantören innan ni går vidare.</w:t>
      </w:r>
    </w:p>
    <w:p>
      <w:pPr>
        <w:spacing w:after="60"/>
        <w:ind w:left="170"/>
      </w:pPr>
      <w:r>
        <w:rPr>
          <w:sz w:val="24"/>
        </w:rPr>
        <w:t xml:space="preserve">☐  </w:t>
      </w:r>
      <w:r>
        <w:rPr>
          <w:sz w:val="19"/>
        </w:rPr>
        <w:t>EU-försäkran om överensstämmelse mottagen, och den avser exakt vår modell</w:t>
      </w:r>
    </w:p>
    <w:p>
      <w:pPr>
        <w:spacing w:after="60"/>
        <w:ind w:left="170"/>
      </w:pPr>
      <w:r>
        <w:rPr>
          <w:sz w:val="24"/>
        </w:rPr>
        <w:t xml:space="preserve">☐  </w:t>
      </w:r>
      <w:r>
        <w:rPr>
          <w:sz w:val="19"/>
        </w:rPr>
        <w:t>Vi har läst vilka direktiv och harmoniserade standarder som anges på försäkran</w:t>
      </w:r>
    </w:p>
    <w:p>
      <w:pPr>
        <w:spacing w:after="60"/>
        <w:ind w:left="170"/>
      </w:pPr>
      <w:r>
        <w:rPr>
          <w:sz w:val="24"/>
        </w:rPr>
        <w:t xml:space="preserve">☐  </w:t>
      </w:r>
      <w:r>
        <w:rPr>
          <w:sz w:val="19"/>
        </w:rPr>
        <w:t>Bruksanvisning på svenska finns och är tillgänglig för personalen</w:t>
      </w:r>
    </w:p>
    <w:p>
      <w:pPr>
        <w:spacing w:after="60"/>
        <w:ind w:left="170"/>
      </w:pPr>
      <w:r>
        <w:rPr>
          <w:sz w:val="24"/>
        </w:rPr>
        <w:t xml:space="preserve">☐  </w:t>
      </w:r>
      <w:r>
        <w:rPr>
          <w:sz w:val="19"/>
        </w:rPr>
        <w:t>Bullerdeklaration med garanterad ljudeffektnivå finns</w:t>
      </w:r>
    </w:p>
    <w:p>
      <w:pPr>
        <w:spacing w:after="60"/>
        <w:ind w:left="170"/>
      </w:pPr>
      <w:r>
        <w:rPr>
          <w:sz w:val="24"/>
        </w:rPr>
        <w:t xml:space="preserve">☐  </w:t>
      </w:r>
      <w:r>
        <w:rPr>
          <w:sz w:val="19"/>
        </w:rPr>
        <w:t>Serienumret på maskinen stämmer med dokumentationen</w:t>
      </w:r>
    </w:p>
    <w:p>
      <w:pPr>
        <w:spacing w:after="60"/>
        <w:ind w:left="170"/>
      </w:pPr>
      <w:r>
        <w:rPr>
          <w:sz w:val="24"/>
        </w:rPr>
        <w:t xml:space="preserve">☐  </w:t>
      </w:r>
      <w:r>
        <w:rPr>
          <w:sz w:val="19"/>
        </w:rPr>
        <w:t>Uppgift om vilka radiogränssnitt maskinen har (WiFi, Bluetooth, mobilt nät, GNSS)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</w:tcPr>
          <w:p>
            <w:pPr>
              <w:spacing w:after="40"/>
            </w:pPr>
            <w:r>
              <w:rPr>
                <w:color w:val="556059"/>
                <w:sz w:val="18"/>
              </w:rPr>
              <w:t xml:space="preserve">Standarder som anges på försäkran: </w:t>
            </w:r>
            <w:r>
              <w:rPr>
                <w:sz w:val="18"/>
                <w:u w:val="single"/>
              </w:rPr>
              <w:t xml:space="preserve">                                  </w:t>
            </w:r>
          </w:p>
        </w:tc>
      </w:tr>
      <w:tr>
        <w:tc>
          <w:tcPr>
            <w:tcW w:type="dxa" w:w="9972"/>
          </w:tcPr>
          <w:p>
            <w:pPr>
              <w:spacing w:after="40"/>
            </w:pPr>
            <w:r>
              <w:rPr>
                <w:color w:val="556059"/>
                <w:sz w:val="18"/>
              </w:rPr>
              <w:t xml:space="preserve">Datum för kontrollen: </w:t>
            </w:r>
            <w:r>
              <w:rPr>
                <w:sz w:val="18"/>
                <w:u w:val="single"/>
              </w:rPr>
              <w:t xml:space="preserve">                                  </w:t>
            </w:r>
          </w:p>
        </w:tc>
      </w:tr>
    </w:tbl>
    <w:p>
      <w:pPr>
        <w:spacing w:before="240" w:after="80"/>
      </w:pPr>
      <w:r>
        <w:rPr>
          <w:b/>
          <w:color w:val="1B5E37"/>
          <w:sz w:val="24"/>
        </w:rPr>
        <w:t>4. Ytan och omgivningen</w:t>
      </w:r>
    </w:p>
    <w:p>
      <w:pPr>
        <w:spacing w:after="60"/>
        <w:ind w:left="170"/>
      </w:pPr>
      <w:r>
        <w:rPr>
          <w:sz w:val="24"/>
        </w:rPr>
        <w:t xml:space="preserve">☐  </w:t>
      </w:r>
      <w:r>
        <w:rPr>
          <w:sz w:val="19"/>
        </w:rPr>
        <w:t>Arbetsområdet är avgränsat i maskinens karta eller med fysisk avgränsning</w:t>
      </w:r>
    </w:p>
    <w:p>
      <w:pPr>
        <w:spacing w:after="60"/>
        <w:ind w:left="170"/>
      </w:pPr>
      <w:r>
        <w:rPr>
          <w:sz w:val="24"/>
        </w:rPr>
        <w:t xml:space="preserve">☐  </w:t>
      </w:r>
      <w:r>
        <w:rPr>
          <w:sz w:val="19"/>
        </w:rPr>
        <w:t>Gräns mot allmän väg, gångväg eller cykelväg är identifierad och hanterad</w:t>
      </w:r>
    </w:p>
    <w:p>
      <w:pPr>
        <w:spacing w:after="60"/>
        <w:ind w:left="170"/>
      </w:pPr>
      <w:r>
        <w:rPr>
          <w:sz w:val="24"/>
        </w:rPr>
        <w:t xml:space="preserve">☐  </w:t>
      </w:r>
      <w:r>
        <w:rPr>
          <w:sz w:val="19"/>
        </w:rPr>
        <w:t>Maskinen behöver inte korsa allmän väg för att nå någon del av arbetsområdet</w:t>
      </w:r>
    </w:p>
    <w:p>
      <w:pPr>
        <w:spacing w:after="60"/>
        <w:ind w:left="170"/>
      </w:pPr>
      <w:r>
        <w:rPr>
          <w:sz w:val="24"/>
        </w:rPr>
        <w:t xml:space="preserve">☐  </w:t>
      </w:r>
      <w:r>
        <w:rPr>
          <w:sz w:val="19"/>
        </w:rPr>
        <w:t>Lekplats, parkering, hållplats eller annan samlingsplats är utesluten med no-go-zon</w:t>
      </w:r>
    </w:p>
    <w:p>
      <w:pPr>
        <w:spacing w:after="60"/>
        <w:ind w:left="170"/>
      </w:pPr>
      <w:r>
        <w:rPr>
          <w:sz w:val="24"/>
        </w:rPr>
        <w:t xml:space="preserve">☐  </w:t>
      </w:r>
      <w:r>
        <w:rPr>
          <w:sz w:val="19"/>
        </w:rPr>
        <w:t>Grindar och öppningar som allmänheten kan använda är genomgångna</w:t>
      </w:r>
    </w:p>
    <w:p>
      <w:pPr>
        <w:spacing w:after="60"/>
        <w:ind w:left="170"/>
      </w:pPr>
      <w:r>
        <w:rPr>
          <w:sz w:val="24"/>
        </w:rPr>
        <w:t xml:space="preserve">☐  </w:t>
      </w:r>
      <w:r>
        <w:rPr>
          <w:sz w:val="19"/>
        </w:rPr>
        <w:t>Slänter, kanter, dike, damm och vattendrag är bedömda mot maskinens angivna gräns</w:t>
      </w:r>
    </w:p>
    <w:p>
      <w:pPr>
        <w:spacing w:after="60"/>
        <w:ind w:left="170"/>
      </w:pPr>
      <w:r>
        <w:rPr>
          <w:sz w:val="24"/>
        </w:rPr>
        <w:t xml:space="preserve">☐  </w:t>
      </w:r>
      <w:r>
        <w:rPr>
          <w:sz w:val="19"/>
        </w:rPr>
        <w:t>Fasta hinder är inmätta: gravstenar, träd, bänkar, stolpar, brunnar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pPr>
              <w:spacing w:after="40"/>
            </w:pPr>
            <w:r>
              <w:rPr>
                <w:color w:val="556059"/>
                <w:sz w:val="18"/>
              </w:rPr>
              <w:t xml:space="preserve">Största lutning i området: </w:t>
            </w:r>
            <w:r>
              <w:rPr>
                <w:sz w:val="18"/>
                <w:u w:val="single"/>
              </w:rPr>
              <w:t xml:space="preserve">                                  </w:t>
            </w:r>
          </w:p>
        </w:tc>
        <w:tc>
          <w:tcPr>
            <w:tcW w:type="dxa" w:w="4986"/>
          </w:tcPr>
          <w:p>
            <w:pPr>
              <w:spacing w:after="40"/>
            </w:pPr>
            <w:r>
              <w:rPr>
                <w:color w:val="556059"/>
                <w:sz w:val="18"/>
              </w:rPr>
              <w:t xml:space="preserve">Maskinens angivna maxlutning: </w:t>
            </w:r>
            <w:r>
              <w:rPr>
                <w:sz w:val="18"/>
                <w:u w:val="single"/>
              </w:rPr>
              <w:t xml:space="preserve">                                  </w:t>
            </w:r>
          </w:p>
        </w:tc>
      </w:tr>
    </w:tbl>
    <w:p>
      <w:pPr>
        <w:spacing w:after="100"/>
      </w:pPr>
      <w:r>
        <w:rPr>
          <w:i w:val="0"/>
          <w:sz w:val="19"/>
        </w:rPr>
        <w:t>Anteckningar om ytan: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</w:tcPr>
          <w:p>
            <w:pPr>
              <w:spacing w:after="40"/>
            </w:pPr>
            <w:r>
              <w:rPr>
                <w:color w:val="556059"/>
                <w:sz w:val="18"/>
              </w:rPr>
              <w:t xml:space="preserve">: </w:t>
            </w:r>
            <w:r>
              <w:rPr>
                <w:sz w:val="18"/>
                <w:u w:val="single"/>
              </w:rPr>
              <w:t xml:space="preserve">                                  </w:t>
            </w:r>
          </w:p>
        </w:tc>
      </w:tr>
      <w:tr>
        <w:tc>
          <w:tcPr>
            <w:tcW w:type="dxa" w:w="9972"/>
          </w:tcPr>
          <w:p>
            <w:pPr>
              <w:spacing w:after="40"/>
            </w:pPr>
            <w:r>
              <w:rPr>
                <w:color w:val="556059"/>
                <w:sz w:val="18"/>
              </w:rPr>
              <w:t xml:space="preserve">: </w:t>
            </w:r>
            <w:r>
              <w:rPr>
                <w:sz w:val="18"/>
                <w:u w:val="single"/>
              </w:rPr>
              <w:t xml:space="preserve">                                  </w:t>
            </w:r>
          </w:p>
        </w:tc>
      </w:tr>
      <w:tr>
        <w:tc>
          <w:tcPr>
            <w:tcW w:type="dxa" w:w="9972"/>
          </w:tcPr>
          <w:p>
            <w:pPr>
              <w:spacing w:after="40"/>
            </w:pPr>
            <w:r>
              <w:rPr>
                <w:color w:val="556059"/>
                <w:sz w:val="18"/>
              </w:rPr>
              <w:t xml:space="preserve">: </w:t>
            </w:r>
            <w:r>
              <w:rPr>
                <w:sz w:val="18"/>
                <w:u w:val="single"/>
              </w:rPr>
              <w:t xml:space="preserve">                                  </w:t>
            </w:r>
          </w:p>
        </w:tc>
      </w:tr>
    </w:tbl>
    <w:p>
      <w:pPr>
        <w:spacing w:before="240" w:after="80"/>
      </w:pPr>
      <w:r>
        <w:rPr>
          <w:b/>
          <w:color w:val="1B5E37"/>
          <w:sz w:val="24"/>
        </w:rPr>
        <w:t>5. Personer som kan befinna sig på ytan</w:t>
      </w:r>
    </w:p>
    <w:p>
      <w:pPr>
        <w:spacing w:after="100"/>
      </w:pPr>
      <w:r>
        <w:rPr>
          <w:i w:val="0"/>
          <w:sz w:val="19"/>
        </w:rPr>
        <w:t>Utan förare på maskinen är det ingen som upptäcker en person på plats. Den bedömningen måste göras här i förväg.</w:t>
      </w:r>
    </w:p>
    <w:p>
      <w:pPr>
        <w:spacing w:after="60"/>
        <w:ind w:left="170"/>
      </w:pPr>
      <w:r>
        <w:rPr>
          <w:sz w:val="24"/>
        </w:rPr>
        <w:t xml:space="preserve">☐  </w:t>
      </w:r>
      <w:r>
        <w:rPr>
          <w:sz w:val="19"/>
        </w:rPr>
        <w:t>Vilka vistas normalt på ytan är kartlagt: personal, besökare, boende, allmänhet</w:t>
      </w:r>
    </w:p>
    <w:p>
      <w:pPr>
        <w:spacing w:after="60"/>
        <w:ind w:left="170"/>
      </w:pPr>
      <w:r>
        <w:rPr>
          <w:sz w:val="24"/>
        </w:rPr>
        <w:t xml:space="preserve">☐  </w:t>
      </w:r>
      <w:r>
        <w:rPr>
          <w:sz w:val="19"/>
        </w:rPr>
        <w:t>Barn kan förekomma på eller intill ytan</w:t>
      </w:r>
    </w:p>
    <w:p>
      <w:pPr>
        <w:spacing w:after="60"/>
        <w:ind w:left="170"/>
      </w:pPr>
      <w:r>
        <w:rPr>
          <w:sz w:val="24"/>
        </w:rPr>
        <w:t xml:space="preserve">☐  </w:t>
      </w:r>
      <w:r>
        <w:rPr>
          <w:sz w:val="19"/>
        </w:rPr>
        <w:t>Verksamhet som kräver ostördhet förekommer, till exempel ceremonier eller tävling</w:t>
      </w:r>
    </w:p>
    <w:p>
      <w:pPr>
        <w:spacing w:after="60"/>
        <w:ind w:left="170"/>
      </w:pPr>
      <w:r>
        <w:rPr>
          <w:sz w:val="24"/>
        </w:rPr>
        <w:t xml:space="preserve">☐  </w:t>
      </w:r>
      <w:r>
        <w:rPr>
          <w:sz w:val="19"/>
        </w:rPr>
        <w:t>Skyltning om att autonom maskin arbetar är uppsatt vid ingångar</w:t>
      </w:r>
    </w:p>
    <w:p>
      <w:pPr>
        <w:spacing w:after="60"/>
        <w:ind w:left="170"/>
      </w:pPr>
      <w:r>
        <w:rPr>
          <w:sz w:val="24"/>
        </w:rPr>
        <w:t xml:space="preserve">☐  </w:t>
      </w:r>
      <w:r>
        <w:rPr>
          <w:sz w:val="19"/>
        </w:rPr>
        <w:t>Personal och entreprenörer på området är informerade</w:t>
      </w:r>
    </w:p>
    <w:p>
      <w:pPr>
        <w:spacing w:after="60"/>
        <w:ind w:left="170"/>
      </w:pPr>
      <w:r>
        <w:rPr>
          <w:sz w:val="24"/>
        </w:rPr>
        <w:t xml:space="preserve">☐  </w:t>
      </w:r>
      <w:r>
        <w:rPr>
          <w:sz w:val="19"/>
        </w:rPr>
        <w:t>Rutin finns för att pausa driften vid evenemang eller arbeten på ytan</w:t>
      </w:r>
    </w:p>
    <w:p>
      <w:r>
        <w:br w:type="page"/>
      </w:r>
    </w:p>
    <w:p>
      <w:pPr>
        <w:spacing w:before="80" w:after="80"/>
      </w:pPr>
      <w:r>
        <w:rPr>
          <w:b/>
          <w:color w:val="1B5E37"/>
          <w:sz w:val="24"/>
        </w:rPr>
        <w:t>6. Drifttider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pPr>
              <w:spacing w:after="40"/>
            </w:pPr>
            <w:r>
              <w:rPr>
                <w:color w:val="556059"/>
                <w:sz w:val="18"/>
              </w:rPr>
              <w:t xml:space="preserve">Drift vardagar: </w:t>
            </w:r>
            <w:r>
              <w:rPr>
                <w:sz w:val="18"/>
                <w:u w:val="single"/>
              </w:rPr>
              <w:t xml:space="preserve">                                  </w:t>
            </w:r>
          </w:p>
        </w:tc>
        <w:tc>
          <w:tcPr>
            <w:tcW w:type="dxa" w:w="4986"/>
          </w:tcPr>
          <w:p>
            <w:pPr>
              <w:spacing w:after="40"/>
            </w:pPr>
            <w:r>
              <w:rPr>
                <w:color w:val="556059"/>
                <w:sz w:val="18"/>
              </w:rPr>
              <w:t xml:space="preserve">Drift helger: </w:t>
            </w:r>
            <w:r>
              <w:rPr>
                <w:sz w:val="18"/>
                <w:u w:val="single"/>
              </w:rPr>
              <w:t xml:space="preserve">                                  </w:t>
            </w:r>
          </w:p>
        </w:tc>
      </w:tr>
      <w:tr>
        <w:tc>
          <w:tcPr>
            <w:tcW w:type="dxa" w:w="4986"/>
          </w:tcPr>
          <w:p>
            <w:pPr>
              <w:spacing w:after="40"/>
            </w:pPr>
            <w:r>
              <w:rPr>
                <w:color w:val="556059"/>
                <w:sz w:val="18"/>
              </w:rPr>
              <w:t xml:space="preserve">Drift under mörker: </w:t>
            </w:r>
            <w:r>
              <w:rPr>
                <w:sz w:val="18"/>
                <w:u w:val="single"/>
              </w:rPr>
              <w:t xml:space="preserve">                                  </w:t>
            </w:r>
          </w:p>
        </w:tc>
        <w:tc>
          <w:tcPr>
            <w:tcW w:type="dxa" w:w="4986"/>
          </w:tcPr>
          <w:p>
            <w:pPr>
              <w:spacing w:after="40"/>
            </w:pPr>
            <w:r>
              <w:rPr>
                <w:color w:val="556059"/>
                <w:sz w:val="18"/>
              </w:rPr>
              <w:t xml:space="preserve">Obemannad tid: </w:t>
            </w:r>
            <w:r>
              <w:rPr>
                <w:sz w:val="18"/>
                <w:u w:val="single"/>
              </w:rPr>
              <w:t xml:space="preserve">                                  </w:t>
            </w:r>
          </w:p>
        </w:tc>
      </w:tr>
    </w:tbl>
    <w:p>
      <w:pPr>
        <w:spacing w:after="60"/>
        <w:ind w:left="170"/>
      </w:pPr>
      <w:r>
        <w:rPr>
          <w:sz w:val="24"/>
        </w:rPr>
        <w:t xml:space="preserve">☐  </w:t>
      </w:r>
      <w:r>
        <w:rPr>
          <w:sz w:val="19"/>
        </w:rPr>
        <w:t>Drift under mörker är bedömd särskilt, eller är utesluten</w:t>
      </w:r>
    </w:p>
    <w:p>
      <w:pPr>
        <w:spacing w:after="60"/>
        <w:ind w:left="170"/>
      </w:pPr>
      <w:r>
        <w:rPr>
          <w:sz w:val="24"/>
        </w:rPr>
        <w:t xml:space="preserve">☐  </w:t>
      </w:r>
      <w:r>
        <w:rPr>
          <w:sz w:val="19"/>
        </w:rPr>
        <w:t>Drift när anläggningen är obemannad är bedömd särskilt, eller är utesluten</w:t>
      </w:r>
    </w:p>
    <w:p>
      <w:pPr>
        <w:spacing w:after="60"/>
        <w:ind w:left="170"/>
      </w:pPr>
      <w:r>
        <w:rPr>
          <w:sz w:val="24"/>
        </w:rPr>
        <w:t xml:space="preserve">☐  </w:t>
      </w:r>
      <w:r>
        <w:rPr>
          <w:sz w:val="19"/>
        </w:rPr>
        <w:t>Väderförhållanden som ska stoppa driften är bestämda</w:t>
      </w:r>
    </w:p>
    <w:p>
      <w:pPr>
        <w:spacing w:before="240" w:after="80"/>
      </w:pPr>
      <w:r>
        <w:rPr>
          <w:b/>
          <w:color w:val="1B5E37"/>
          <w:sz w:val="24"/>
        </w:rPr>
        <w:t>7. Nödstopp, larm och tillsyn</w:t>
      </w:r>
    </w:p>
    <w:p>
      <w:pPr>
        <w:spacing w:after="60"/>
        <w:ind w:left="170"/>
      </w:pPr>
      <w:r>
        <w:rPr>
          <w:sz w:val="24"/>
        </w:rPr>
        <w:t xml:space="preserve">☐  </w:t>
      </w:r>
      <w:r>
        <w:rPr>
          <w:sz w:val="19"/>
        </w:rPr>
        <w:t>Alla som arbetar på ytan vet var nödstoppet sitter och hur maskinen stannas</w:t>
      </w:r>
    </w:p>
    <w:p>
      <w:pPr>
        <w:spacing w:after="60"/>
        <w:ind w:left="170"/>
      </w:pPr>
      <w:r>
        <w:rPr>
          <w:sz w:val="24"/>
        </w:rPr>
        <w:t xml:space="preserve">☐  </w:t>
      </w:r>
      <w:r>
        <w:rPr>
          <w:sz w:val="19"/>
        </w:rPr>
        <w:t>Det går att stoppa maskinen på avstånd, och personalen vet hur</w:t>
      </w:r>
    </w:p>
    <w:p>
      <w:pPr>
        <w:spacing w:after="60"/>
        <w:ind w:left="170"/>
      </w:pPr>
      <w:r>
        <w:rPr>
          <w:sz w:val="24"/>
        </w:rPr>
        <w:t xml:space="preserve">☐  </w:t>
      </w:r>
      <w:r>
        <w:rPr>
          <w:sz w:val="19"/>
        </w:rPr>
        <w:t>Larm och driftstopp går till en namngiven person</w:t>
      </w:r>
    </w:p>
    <w:p>
      <w:pPr>
        <w:spacing w:after="60"/>
        <w:ind w:left="170"/>
      </w:pPr>
      <w:r>
        <w:rPr>
          <w:sz w:val="24"/>
        </w:rPr>
        <w:t xml:space="preserve">☐  </w:t>
      </w:r>
      <w:r>
        <w:rPr>
          <w:sz w:val="19"/>
        </w:rPr>
        <w:t>Rutin finns för vad som gäller när maskinen står stilla och ska hämtas</w:t>
      </w:r>
    </w:p>
    <w:p>
      <w:pPr>
        <w:spacing w:after="60"/>
        <w:ind w:left="170"/>
      </w:pPr>
      <w:r>
        <w:rPr>
          <w:sz w:val="24"/>
        </w:rPr>
        <w:t xml:space="preserve">☐  </w:t>
      </w:r>
      <w:r>
        <w:rPr>
          <w:sz w:val="19"/>
        </w:rPr>
        <w:t>Daglig tillsyn är bestämd: vem, vad och hur ofta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pPr>
              <w:spacing w:after="40"/>
            </w:pPr>
            <w:r>
              <w:rPr>
                <w:color w:val="556059"/>
                <w:sz w:val="18"/>
              </w:rPr>
              <w:t xml:space="preserve">Ansvarig för larm dagtid: </w:t>
            </w:r>
            <w:r>
              <w:rPr>
                <w:sz w:val="18"/>
                <w:u w:val="single"/>
              </w:rPr>
              <w:t xml:space="preserve">                                  </w:t>
            </w:r>
          </w:p>
        </w:tc>
        <w:tc>
          <w:tcPr>
            <w:tcW w:type="dxa" w:w="4986"/>
          </w:tcPr>
          <w:p>
            <w:pPr>
              <w:spacing w:after="40"/>
            </w:pPr>
            <w:r>
              <w:rPr>
                <w:color w:val="556059"/>
                <w:sz w:val="18"/>
              </w:rPr>
              <w:t xml:space="preserve">Ansvarig övrig tid: </w:t>
            </w:r>
            <w:r>
              <w:rPr>
                <w:sz w:val="18"/>
                <w:u w:val="single"/>
              </w:rPr>
              <w:t xml:space="preserve">                                  </w:t>
            </w:r>
          </w:p>
        </w:tc>
      </w:tr>
      <w:tr>
        <w:tc>
          <w:tcPr>
            <w:tcW w:type="dxa" w:w="4986"/>
          </w:tcPr>
          <w:p>
            <w:pPr>
              <w:spacing w:after="40"/>
            </w:pPr>
            <w:r>
              <w:rPr>
                <w:color w:val="556059"/>
                <w:sz w:val="18"/>
              </w:rPr>
              <w:t xml:space="preserve">Förväntad tid till att någon är på plats: </w:t>
            </w:r>
            <w:r>
              <w:rPr>
                <w:sz w:val="18"/>
                <w:u w:val="single"/>
              </w:rPr>
              <w:t xml:space="preserve">                                  </w:t>
            </w:r>
          </w:p>
        </w:tc>
        <w:tc>
          <w:tcPr>
            <w:tcW w:type="dxa" w:w="4986"/>
          </w:tcPr>
          <w:p>
            <w:pPr>
              <w:spacing w:after="40"/>
            </w:pPr>
            <w:r>
              <w:rPr>
                <w:color w:val="556059"/>
                <w:sz w:val="18"/>
              </w:rPr>
              <w:t xml:space="preserve">Daglig tillsyn utförs av: </w:t>
            </w:r>
            <w:r>
              <w:rPr>
                <w:sz w:val="18"/>
                <w:u w:val="single"/>
              </w:rPr>
              <w:t xml:space="preserve">                                  </w:t>
            </w:r>
          </w:p>
        </w:tc>
      </w:tr>
    </w:tbl>
    <w:p>
      <w:pPr>
        <w:spacing w:before="240" w:after="80"/>
      </w:pPr>
      <w:r>
        <w:rPr>
          <w:b/>
          <w:color w:val="1B5E37"/>
          <w:sz w:val="24"/>
        </w:rPr>
        <w:t>8. Underhåll och ingrepp på maskinen</w:t>
      </w:r>
    </w:p>
    <w:p>
      <w:pPr>
        <w:spacing w:after="60"/>
        <w:ind w:left="170"/>
      </w:pPr>
      <w:r>
        <w:rPr>
          <w:sz w:val="24"/>
        </w:rPr>
        <w:t xml:space="preserve">☐  </w:t>
      </w:r>
      <w:r>
        <w:rPr>
          <w:sz w:val="19"/>
        </w:rPr>
        <w:t>Rutin finns för hur maskinen görs strömlös eller säkras innan någon går fram till den</w:t>
      </w:r>
    </w:p>
    <w:p>
      <w:pPr>
        <w:spacing w:after="60"/>
        <w:ind w:left="170"/>
      </w:pPr>
      <w:r>
        <w:rPr>
          <w:sz w:val="24"/>
        </w:rPr>
        <w:t xml:space="preserve">☐  </w:t>
      </w:r>
      <w:r>
        <w:rPr>
          <w:sz w:val="19"/>
        </w:rPr>
        <w:t>Knivbyte och blad-/cylinderarbete får bara utföras av utsedd och utbildad personal</w:t>
      </w:r>
    </w:p>
    <w:p>
      <w:pPr>
        <w:spacing w:after="60"/>
        <w:ind w:left="170"/>
      </w:pPr>
      <w:r>
        <w:rPr>
          <w:sz w:val="24"/>
        </w:rPr>
        <w:t xml:space="preserve">☐  </w:t>
      </w:r>
      <w:r>
        <w:rPr>
          <w:sz w:val="19"/>
        </w:rPr>
        <w:t>Skyddshandskar och annan skyddsutrustning som krävs är utpekad och finns på plats</w:t>
      </w:r>
    </w:p>
    <w:p>
      <w:pPr>
        <w:spacing w:after="60"/>
        <w:ind w:left="170"/>
      </w:pPr>
      <w:r>
        <w:rPr>
          <w:sz w:val="24"/>
        </w:rPr>
        <w:t xml:space="preserve">☐  </w:t>
      </w:r>
      <w:r>
        <w:rPr>
          <w:sz w:val="19"/>
        </w:rPr>
        <w:t>Serviceintervall enligt tillverkaren är inlagt i vår planering</w:t>
      </w:r>
    </w:p>
    <w:p>
      <w:pPr>
        <w:spacing w:before="240" w:after="80"/>
      </w:pPr>
      <w:r>
        <w:rPr>
          <w:b/>
          <w:color w:val="1B5E37"/>
          <w:sz w:val="24"/>
        </w:rPr>
        <w:t>9. Instruktion och utbildning</w:t>
      </w:r>
    </w:p>
    <w:p>
      <w:pPr>
        <w:spacing w:after="60"/>
        <w:ind w:left="170"/>
      </w:pPr>
      <w:r>
        <w:rPr>
          <w:sz w:val="24"/>
        </w:rPr>
        <w:t xml:space="preserve">☐  </w:t>
      </w:r>
      <w:r>
        <w:rPr>
          <w:sz w:val="19"/>
        </w:rPr>
        <w:t>Alla som ska hantera maskinen har fått instruktion utifrån bruksanvisningen</w:t>
      </w:r>
    </w:p>
    <w:p>
      <w:pPr>
        <w:spacing w:after="60"/>
        <w:ind w:left="170"/>
      </w:pPr>
      <w:r>
        <w:rPr>
          <w:sz w:val="24"/>
        </w:rPr>
        <w:t xml:space="preserve">☐  </w:t>
      </w:r>
      <w:r>
        <w:rPr>
          <w:sz w:val="19"/>
        </w:rPr>
        <w:t>Utbildningen är dokumenterad med namn och datum</w:t>
      </w:r>
    </w:p>
    <w:p>
      <w:pPr>
        <w:spacing w:after="60"/>
        <w:ind w:left="170"/>
      </w:pPr>
      <w:r>
        <w:rPr>
          <w:sz w:val="24"/>
        </w:rPr>
        <w:t xml:space="preserve">☐  </w:t>
      </w:r>
      <w:r>
        <w:rPr>
          <w:sz w:val="19"/>
        </w:rPr>
        <w:t>Ny personal får instruktion innan de arbetar på ytan</w:t>
      </w:r>
    </w:p>
    <w:p>
      <w:pPr>
        <w:spacing w:after="60"/>
        <w:ind w:left="170"/>
      </w:pPr>
      <w:r>
        <w:rPr>
          <w:sz w:val="24"/>
        </w:rPr>
        <w:t xml:space="preserve">☐  </w:t>
      </w:r>
      <w:r>
        <w:rPr>
          <w:sz w:val="19"/>
        </w:rPr>
        <w:t>Skriftlig instruktion finns tillgänglig där maskinen förvaras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pPr>
              <w:spacing w:after="40"/>
            </w:pPr>
            <w:r>
              <w:rPr>
                <w:color w:val="556059"/>
                <w:sz w:val="18"/>
              </w:rPr>
              <w:t xml:space="preserve">Utbildning genomförd av: </w:t>
            </w:r>
            <w:r>
              <w:rPr>
                <w:sz w:val="18"/>
                <w:u w:val="single"/>
              </w:rPr>
              <w:t xml:space="preserve">                                  </w:t>
            </w:r>
          </w:p>
        </w:tc>
        <w:tc>
          <w:tcPr>
            <w:tcW w:type="dxa" w:w="4986"/>
          </w:tcPr>
          <w:p>
            <w:pPr>
              <w:spacing w:after="40"/>
            </w:pPr>
            <w:r>
              <w:rPr>
                <w:color w:val="556059"/>
                <w:sz w:val="18"/>
              </w:rPr>
              <w:t xml:space="preserve">Datum: </w:t>
            </w:r>
            <w:r>
              <w:rPr>
                <w:sz w:val="18"/>
                <w:u w:val="single"/>
              </w:rPr>
              <w:t xml:space="preserve">                                  </w:t>
            </w:r>
          </w:p>
        </w:tc>
      </w:tr>
    </w:tbl>
    <w:p>
      <w:pPr>
        <w:spacing w:before="240" w:after="80"/>
      </w:pPr>
      <w:r>
        <w:rPr>
          <w:b/>
          <w:color w:val="1B5E37"/>
          <w:sz w:val="24"/>
        </w:rPr>
        <w:t>10. Identifierade risker och åtgärder</w:t>
      </w:r>
    </w:p>
    <w:p>
      <w:pPr>
        <w:spacing w:after="100"/>
      </w:pPr>
      <w:r>
        <w:rPr>
          <w:i w:val="0"/>
          <w:sz w:val="19"/>
        </w:rPr>
        <w:t>Bedöm sannolikhet och konsekvens i tre steg: låg, medel, hög. Åtgärda allt som hamnar högt i båda innan driften startar.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62"/>
        <w:gridCol w:w="1662"/>
        <w:gridCol w:w="1662"/>
        <w:gridCol w:w="1662"/>
        <w:gridCol w:w="1662"/>
        <w:gridCol w:w="1662"/>
      </w:tblGrid>
      <w:tr>
        <w:tc>
          <w:tcPr>
            <w:tcW w:type="dxa" w:w="2608"/>
            <w:shd w:fill="1B5E37"/>
          </w:tcPr>
          <w:p>
            <w:pPr>
              <w:spacing w:before="40" w:after="40"/>
            </w:pPr>
            <w:r>
              <w:rPr>
                <w:b/>
                <w:color w:val="FFFFFF"/>
                <w:sz w:val="18"/>
              </w:rPr>
              <w:t>Risk</w:t>
            </w:r>
          </w:p>
        </w:tc>
        <w:tc>
          <w:tcPr>
            <w:tcW w:type="dxa" w:w="1077"/>
            <w:shd w:fill="1B5E37"/>
          </w:tcPr>
          <w:p>
            <w:pPr>
              <w:spacing w:before="40" w:after="40"/>
            </w:pPr>
            <w:r>
              <w:rPr>
                <w:b/>
                <w:color w:val="FFFFFF"/>
                <w:sz w:val="18"/>
              </w:rPr>
              <w:t>Sannolikhet</w:t>
            </w:r>
          </w:p>
        </w:tc>
        <w:tc>
          <w:tcPr>
            <w:tcW w:type="dxa" w:w="1077"/>
            <w:shd w:fill="1B5E37"/>
          </w:tcPr>
          <w:p>
            <w:pPr>
              <w:spacing w:before="40" w:after="40"/>
            </w:pPr>
            <w:r>
              <w:rPr>
                <w:b/>
                <w:color w:val="FFFFFF"/>
                <w:sz w:val="18"/>
              </w:rPr>
              <w:t>Konsekvens</w:t>
            </w:r>
          </w:p>
        </w:tc>
        <w:tc>
          <w:tcPr>
            <w:tcW w:type="dxa" w:w="3061"/>
            <w:shd w:fill="1B5E37"/>
          </w:tcPr>
          <w:p>
            <w:pPr>
              <w:spacing w:before="40" w:after="40"/>
            </w:pPr>
            <w:r>
              <w:rPr>
                <w:b/>
                <w:color w:val="FFFFFF"/>
                <w:sz w:val="18"/>
              </w:rPr>
              <w:t>Åtgärd</w:t>
            </w:r>
          </w:p>
        </w:tc>
        <w:tc>
          <w:tcPr>
            <w:tcW w:type="dxa" w:w="1247"/>
            <w:shd w:fill="1B5E37"/>
          </w:tcPr>
          <w:p>
            <w:pPr>
              <w:spacing w:before="40" w:after="40"/>
            </w:pPr>
            <w:r>
              <w:rPr>
                <w:b/>
                <w:color w:val="FFFFFF"/>
                <w:sz w:val="18"/>
              </w:rPr>
              <w:t>Ansvarig</w:t>
            </w:r>
          </w:p>
        </w:tc>
        <w:tc>
          <w:tcPr>
            <w:tcW w:type="dxa" w:w="907"/>
            <w:shd w:fill="1B5E37"/>
          </w:tcPr>
          <w:p>
            <w:pPr>
              <w:spacing w:before="40" w:after="40"/>
            </w:pPr>
            <w:r>
              <w:rPr>
                <w:b/>
                <w:color w:val="FFFFFF"/>
                <w:sz w:val="18"/>
              </w:rPr>
              <w:t>Klart</w:t>
            </w:r>
          </w:p>
        </w:tc>
      </w:tr>
      <w:tr>
        <w:tc>
          <w:tcPr>
            <w:tcW w:type="dxa" w:w="2608"/>
          </w:tcPr>
          <w:p>
            <w:pPr>
              <w:spacing w:before="120" w:after="120"/>
            </w:pPr>
          </w:p>
        </w:tc>
        <w:tc>
          <w:tcPr>
            <w:tcW w:type="dxa" w:w="1077"/>
          </w:tcPr>
          <w:p>
            <w:pPr>
              <w:spacing w:before="120" w:after="120"/>
            </w:pPr>
          </w:p>
        </w:tc>
        <w:tc>
          <w:tcPr>
            <w:tcW w:type="dxa" w:w="1077"/>
          </w:tcPr>
          <w:p>
            <w:pPr>
              <w:spacing w:before="120" w:after="120"/>
            </w:pPr>
          </w:p>
        </w:tc>
        <w:tc>
          <w:tcPr>
            <w:tcW w:type="dxa" w:w="3061"/>
          </w:tcPr>
          <w:p>
            <w:pPr>
              <w:spacing w:before="120" w:after="120"/>
            </w:pPr>
          </w:p>
        </w:tc>
        <w:tc>
          <w:tcPr>
            <w:tcW w:type="dxa" w:w="1247"/>
          </w:tcPr>
          <w:p>
            <w:pPr>
              <w:spacing w:before="120" w:after="120"/>
            </w:pPr>
          </w:p>
        </w:tc>
        <w:tc>
          <w:tcPr>
            <w:tcW w:type="dxa" w:w="907"/>
          </w:tcPr>
          <w:p>
            <w:pPr>
              <w:spacing w:before="120" w:after="120"/>
            </w:pPr>
          </w:p>
        </w:tc>
      </w:tr>
      <w:tr>
        <w:tc>
          <w:tcPr>
            <w:tcW w:type="dxa" w:w="2608"/>
          </w:tcPr>
          <w:p>
            <w:pPr>
              <w:spacing w:before="120" w:after="120"/>
            </w:pPr>
          </w:p>
        </w:tc>
        <w:tc>
          <w:tcPr>
            <w:tcW w:type="dxa" w:w="1077"/>
          </w:tcPr>
          <w:p>
            <w:pPr>
              <w:spacing w:before="120" w:after="120"/>
            </w:pPr>
          </w:p>
        </w:tc>
        <w:tc>
          <w:tcPr>
            <w:tcW w:type="dxa" w:w="1077"/>
          </w:tcPr>
          <w:p>
            <w:pPr>
              <w:spacing w:before="120" w:after="120"/>
            </w:pPr>
          </w:p>
        </w:tc>
        <w:tc>
          <w:tcPr>
            <w:tcW w:type="dxa" w:w="3061"/>
          </w:tcPr>
          <w:p>
            <w:pPr>
              <w:spacing w:before="120" w:after="120"/>
            </w:pPr>
          </w:p>
        </w:tc>
        <w:tc>
          <w:tcPr>
            <w:tcW w:type="dxa" w:w="1247"/>
          </w:tcPr>
          <w:p>
            <w:pPr>
              <w:spacing w:before="120" w:after="120"/>
            </w:pPr>
          </w:p>
        </w:tc>
        <w:tc>
          <w:tcPr>
            <w:tcW w:type="dxa" w:w="907"/>
          </w:tcPr>
          <w:p>
            <w:pPr>
              <w:spacing w:before="120" w:after="120"/>
            </w:pPr>
          </w:p>
        </w:tc>
      </w:tr>
      <w:tr>
        <w:tc>
          <w:tcPr>
            <w:tcW w:type="dxa" w:w="2608"/>
          </w:tcPr>
          <w:p>
            <w:pPr>
              <w:spacing w:before="120" w:after="120"/>
            </w:pPr>
          </w:p>
        </w:tc>
        <w:tc>
          <w:tcPr>
            <w:tcW w:type="dxa" w:w="1077"/>
          </w:tcPr>
          <w:p>
            <w:pPr>
              <w:spacing w:before="120" w:after="120"/>
            </w:pPr>
          </w:p>
        </w:tc>
        <w:tc>
          <w:tcPr>
            <w:tcW w:type="dxa" w:w="1077"/>
          </w:tcPr>
          <w:p>
            <w:pPr>
              <w:spacing w:before="120" w:after="120"/>
            </w:pPr>
          </w:p>
        </w:tc>
        <w:tc>
          <w:tcPr>
            <w:tcW w:type="dxa" w:w="3061"/>
          </w:tcPr>
          <w:p>
            <w:pPr>
              <w:spacing w:before="120" w:after="120"/>
            </w:pPr>
          </w:p>
        </w:tc>
        <w:tc>
          <w:tcPr>
            <w:tcW w:type="dxa" w:w="1247"/>
          </w:tcPr>
          <w:p>
            <w:pPr>
              <w:spacing w:before="120" w:after="120"/>
            </w:pPr>
          </w:p>
        </w:tc>
        <w:tc>
          <w:tcPr>
            <w:tcW w:type="dxa" w:w="907"/>
          </w:tcPr>
          <w:p>
            <w:pPr>
              <w:spacing w:before="120" w:after="120"/>
            </w:pPr>
          </w:p>
        </w:tc>
      </w:tr>
      <w:tr>
        <w:tc>
          <w:tcPr>
            <w:tcW w:type="dxa" w:w="2608"/>
          </w:tcPr>
          <w:p>
            <w:pPr>
              <w:spacing w:before="120" w:after="120"/>
            </w:pPr>
          </w:p>
        </w:tc>
        <w:tc>
          <w:tcPr>
            <w:tcW w:type="dxa" w:w="1077"/>
          </w:tcPr>
          <w:p>
            <w:pPr>
              <w:spacing w:before="120" w:after="120"/>
            </w:pPr>
          </w:p>
        </w:tc>
        <w:tc>
          <w:tcPr>
            <w:tcW w:type="dxa" w:w="1077"/>
          </w:tcPr>
          <w:p>
            <w:pPr>
              <w:spacing w:before="120" w:after="120"/>
            </w:pPr>
          </w:p>
        </w:tc>
        <w:tc>
          <w:tcPr>
            <w:tcW w:type="dxa" w:w="3061"/>
          </w:tcPr>
          <w:p>
            <w:pPr>
              <w:spacing w:before="120" w:after="120"/>
            </w:pPr>
          </w:p>
        </w:tc>
        <w:tc>
          <w:tcPr>
            <w:tcW w:type="dxa" w:w="1247"/>
          </w:tcPr>
          <w:p>
            <w:pPr>
              <w:spacing w:before="120" w:after="120"/>
            </w:pPr>
          </w:p>
        </w:tc>
        <w:tc>
          <w:tcPr>
            <w:tcW w:type="dxa" w:w="907"/>
          </w:tcPr>
          <w:p>
            <w:pPr>
              <w:spacing w:before="120" w:after="120"/>
            </w:pPr>
          </w:p>
        </w:tc>
      </w:tr>
      <w:tr>
        <w:tc>
          <w:tcPr>
            <w:tcW w:type="dxa" w:w="2608"/>
          </w:tcPr>
          <w:p>
            <w:pPr>
              <w:spacing w:before="120" w:after="120"/>
            </w:pPr>
          </w:p>
        </w:tc>
        <w:tc>
          <w:tcPr>
            <w:tcW w:type="dxa" w:w="1077"/>
          </w:tcPr>
          <w:p>
            <w:pPr>
              <w:spacing w:before="120" w:after="120"/>
            </w:pPr>
          </w:p>
        </w:tc>
        <w:tc>
          <w:tcPr>
            <w:tcW w:type="dxa" w:w="1077"/>
          </w:tcPr>
          <w:p>
            <w:pPr>
              <w:spacing w:before="120" w:after="120"/>
            </w:pPr>
          </w:p>
        </w:tc>
        <w:tc>
          <w:tcPr>
            <w:tcW w:type="dxa" w:w="3061"/>
          </w:tcPr>
          <w:p>
            <w:pPr>
              <w:spacing w:before="120" w:after="120"/>
            </w:pPr>
          </w:p>
        </w:tc>
        <w:tc>
          <w:tcPr>
            <w:tcW w:type="dxa" w:w="1247"/>
          </w:tcPr>
          <w:p>
            <w:pPr>
              <w:spacing w:before="120" w:after="120"/>
            </w:pPr>
          </w:p>
        </w:tc>
        <w:tc>
          <w:tcPr>
            <w:tcW w:type="dxa" w:w="907"/>
          </w:tcPr>
          <w:p>
            <w:pPr>
              <w:spacing w:before="120" w:after="120"/>
            </w:pPr>
          </w:p>
        </w:tc>
      </w:tr>
      <w:tr>
        <w:tc>
          <w:tcPr>
            <w:tcW w:type="dxa" w:w="2608"/>
          </w:tcPr>
          <w:p>
            <w:pPr>
              <w:spacing w:before="120" w:after="120"/>
            </w:pPr>
          </w:p>
        </w:tc>
        <w:tc>
          <w:tcPr>
            <w:tcW w:type="dxa" w:w="1077"/>
          </w:tcPr>
          <w:p>
            <w:pPr>
              <w:spacing w:before="120" w:after="120"/>
            </w:pPr>
          </w:p>
        </w:tc>
        <w:tc>
          <w:tcPr>
            <w:tcW w:type="dxa" w:w="1077"/>
          </w:tcPr>
          <w:p>
            <w:pPr>
              <w:spacing w:before="120" w:after="120"/>
            </w:pPr>
          </w:p>
        </w:tc>
        <w:tc>
          <w:tcPr>
            <w:tcW w:type="dxa" w:w="3061"/>
          </w:tcPr>
          <w:p>
            <w:pPr>
              <w:spacing w:before="120" w:after="120"/>
            </w:pPr>
          </w:p>
        </w:tc>
        <w:tc>
          <w:tcPr>
            <w:tcW w:type="dxa" w:w="1247"/>
          </w:tcPr>
          <w:p>
            <w:pPr>
              <w:spacing w:before="120" w:after="120"/>
            </w:pPr>
          </w:p>
        </w:tc>
        <w:tc>
          <w:tcPr>
            <w:tcW w:type="dxa" w:w="907"/>
          </w:tcPr>
          <w:p>
            <w:pPr>
              <w:spacing w:before="120" w:after="120"/>
            </w:pPr>
          </w:p>
        </w:tc>
      </w:tr>
      <w:tr>
        <w:tc>
          <w:tcPr>
            <w:tcW w:type="dxa" w:w="2608"/>
          </w:tcPr>
          <w:p>
            <w:pPr>
              <w:spacing w:before="120" w:after="120"/>
            </w:pPr>
          </w:p>
        </w:tc>
        <w:tc>
          <w:tcPr>
            <w:tcW w:type="dxa" w:w="1077"/>
          </w:tcPr>
          <w:p>
            <w:pPr>
              <w:spacing w:before="120" w:after="120"/>
            </w:pPr>
          </w:p>
        </w:tc>
        <w:tc>
          <w:tcPr>
            <w:tcW w:type="dxa" w:w="1077"/>
          </w:tcPr>
          <w:p>
            <w:pPr>
              <w:spacing w:before="120" w:after="120"/>
            </w:pPr>
          </w:p>
        </w:tc>
        <w:tc>
          <w:tcPr>
            <w:tcW w:type="dxa" w:w="3061"/>
          </w:tcPr>
          <w:p>
            <w:pPr>
              <w:spacing w:before="120" w:after="120"/>
            </w:pPr>
          </w:p>
        </w:tc>
        <w:tc>
          <w:tcPr>
            <w:tcW w:type="dxa" w:w="1247"/>
          </w:tcPr>
          <w:p>
            <w:pPr>
              <w:spacing w:before="120" w:after="120"/>
            </w:pPr>
          </w:p>
        </w:tc>
        <w:tc>
          <w:tcPr>
            <w:tcW w:type="dxa" w:w="907"/>
          </w:tcPr>
          <w:p>
            <w:pPr>
              <w:spacing w:before="120" w:after="120"/>
            </w:pPr>
          </w:p>
        </w:tc>
      </w:tr>
      <w:tr>
        <w:tc>
          <w:tcPr>
            <w:tcW w:type="dxa" w:w="2608"/>
          </w:tcPr>
          <w:p>
            <w:pPr>
              <w:spacing w:before="120" w:after="120"/>
            </w:pPr>
          </w:p>
        </w:tc>
        <w:tc>
          <w:tcPr>
            <w:tcW w:type="dxa" w:w="1077"/>
          </w:tcPr>
          <w:p>
            <w:pPr>
              <w:spacing w:before="120" w:after="120"/>
            </w:pPr>
          </w:p>
        </w:tc>
        <w:tc>
          <w:tcPr>
            <w:tcW w:type="dxa" w:w="1077"/>
          </w:tcPr>
          <w:p>
            <w:pPr>
              <w:spacing w:before="120" w:after="120"/>
            </w:pPr>
          </w:p>
        </w:tc>
        <w:tc>
          <w:tcPr>
            <w:tcW w:type="dxa" w:w="3061"/>
          </w:tcPr>
          <w:p>
            <w:pPr>
              <w:spacing w:before="120" w:after="120"/>
            </w:pPr>
          </w:p>
        </w:tc>
        <w:tc>
          <w:tcPr>
            <w:tcW w:type="dxa" w:w="1247"/>
          </w:tcPr>
          <w:p>
            <w:pPr>
              <w:spacing w:before="120" w:after="120"/>
            </w:pPr>
          </w:p>
        </w:tc>
        <w:tc>
          <w:tcPr>
            <w:tcW w:type="dxa" w:w="907"/>
          </w:tcPr>
          <w:p>
            <w:pPr>
              <w:spacing w:before="120" w:after="120"/>
            </w:pPr>
          </w:p>
        </w:tc>
      </w:tr>
      <w:tr>
        <w:tc>
          <w:tcPr>
            <w:tcW w:type="dxa" w:w="2608"/>
          </w:tcPr>
          <w:p>
            <w:pPr>
              <w:spacing w:before="120" w:after="120"/>
            </w:pPr>
          </w:p>
        </w:tc>
        <w:tc>
          <w:tcPr>
            <w:tcW w:type="dxa" w:w="1077"/>
          </w:tcPr>
          <w:p>
            <w:pPr>
              <w:spacing w:before="120" w:after="120"/>
            </w:pPr>
          </w:p>
        </w:tc>
        <w:tc>
          <w:tcPr>
            <w:tcW w:type="dxa" w:w="1077"/>
          </w:tcPr>
          <w:p>
            <w:pPr>
              <w:spacing w:before="120" w:after="120"/>
            </w:pPr>
          </w:p>
        </w:tc>
        <w:tc>
          <w:tcPr>
            <w:tcW w:type="dxa" w:w="3061"/>
          </w:tcPr>
          <w:p>
            <w:pPr>
              <w:spacing w:before="120" w:after="120"/>
            </w:pPr>
          </w:p>
        </w:tc>
        <w:tc>
          <w:tcPr>
            <w:tcW w:type="dxa" w:w="1247"/>
          </w:tcPr>
          <w:p>
            <w:pPr>
              <w:spacing w:before="120" w:after="120"/>
            </w:pPr>
          </w:p>
        </w:tc>
        <w:tc>
          <w:tcPr>
            <w:tcW w:type="dxa" w:w="907"/>
          </w:tcPr>
          <w:p>
            <w:pPr>
              <w:spacing w:before="120" w:after="120"/>
            </w:pPr>
          </w:p>
        </w:tc>
      </w:tr>
    </w:tbl>
    <w:p>
      <w:pPr>
        <w:spacing w:before="240" w:after="80"/>
      </w:pPr>
      <w:r>
        <w:rPr>
          <w:b/>
          <w:color w:val="1B5E37"/>
          <w:sz w:val="24"/>
        </w:rPr>
        <w:t>11. Beslut och underskrift</w:t>
      </w:r>
    </w:p>
    <w:p>
      <w:pPr>
        <w:spacing w:after="60"/>
        <w:ind w:left="170"/>
      </w:pPr>
      <w:r>
        <w:rPr>
          <w:sz w:val="24"/>
        </w:rPr>
        <w:t xml:space="preserve">☐  </w:t>
      </w:r>
      <w:r>
        <w:rPr>
          <w:sz w:val="19"/>
        </w:rPr>
        <w:t>Riskbedömningen är genomförd och åtgärderna ovan är beslutade</w:t>
      </w:r>
    </w:p>
    <w:p>
      <w:pPr>
        <w:spacing w:after="60"/>
        <w:ind w:left="170"/>
      </w:pPr>
      <w:r>
        <w:rPr>
          <w:sz w:val="24"/>
        </w:rPr>
        <w:t xml:space="preserve">☐  </w:t>
      </w:r>
      <w:r>
        <w:rPr>
          <w:sz w:val="19"/>
        </w:rPr>
        <w:t>Driften kan startas när åtgärderna med hög risk är genomförda</w:t>
      </w:r>
    </w:p>
    <w:p>
      <w:pPr>
        <w:spacing w:after="60"/>
        <w:ind w:left="170"/>
      </w:pPr>
      <w:r>
        <w:rPr>
          <w:sz w:val="24"/>
        </w:rPr>
        <w:t xml:space="preserve">☐  </w:t>
      </w:r>
      <w:r>
        <w:rPr>
          <w:sz w:val="19"/>
        </w:rPr>
        <w:t>Bedömningen tas upp på nytt vid förändring av ytor, personal, öppettider eller maskin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pPr>
              <w:spacing w:after="40"/>
            </w:pPr>
            <w:r>
              <w:rPr>
                <w:color w:val="556059"/>
                <w:sz w:val="18"/>
              </w:rPr>
              <w:t xml:space="preserve">Underskrift ansvarig: </w:t>
            </w:r>
            <w:r>
              <w:rPr>
                <w:sz w:val="18"/>
                <w:u w:val="single"/>
              </w:rPr>
              <w:t xml:space="preserve">                                  </w:t>
            </w:r>
          </w:p>
        </w:tc>
        <w:tc>
          <w:tcPr>
            <w:tcW w:type="dxa" w:w="4986"/>
          </w:tcPr>
          <w:p>
            <w:pPr>
              <w:spacing w:after="40"/>
            </w:pPr>
            <w:r>
              <w:rPr>
                <w:color w:val="556059"/>
                <w:sz w:val="18"/>
              </w:rPr>
              <w:t xml:space="preserve">Namnförtydligande: </w:t>
            </w:r>
            <w:r>
              <w:rPr>
                <w:sz w:val="18"/>
                <w:u w:val="single"/>
              </w:rPr>
              <w:t xml:space="preserve">                                  </w:t>
            </w:r>
          </w:p>
        </w:tc>
      </w:tr>
      <w:tr>
        <w:tc>
          <w:tcPr>
            <w:tcW w:type="dxa" w:w="4986"/>
          </w:tcPr>
          <w:p>
            <w:pPr>
              <w:spacing w:after="40"/>
            </w:pPr>
            <w:r>
              <w:rPr>
                <w:color w:val="556059"/>
                <w:sz w:val="18"/>
              </w:rPr>
              <w:t xml:space="preserve">Datum: </w:t>
            </w:r>
            <w:r>
              <w:rPr>
                <w:sz w:val="18"/>
                <w:u w:val="single"/>
              </w:rPr>
              <w:t xml:space="preserve">                                  </w:t>
            </w:r>
          </w:p>
        </w:tc>
        <w:tc>
          <w:tcPr>
            <w:tcW w:type="dxa" w:w="4986"/>
          </w:tcPr>
          <w:p>
            <w:pPr>
              <w:spacing w:after="40"/>
            </w:pPr>
            <w:r>
              <w:rPr>
                <w:color w:val="556059"/>
                <w:sz w:val="18"/>
              </w:rPr>
              <w:t xml:space="preserve">Nästa revidering: </w:t>
            </w:r>
            <w:r>
              <w:rPr>
                <w:sz w:val="18"/>
                <w:u w:val="single"/>
              </w:rPr>
              <w:t xml:space="preserve">                                  </w:t>
            </w:r>
          </w:p>
        </w:tc>
      </w:tr>
    </w:tbl>
    <w:p>
      <w:pPr>
        <w:spacing w:before="280"/>
      </w:pPr>
      <w:r>
        <w:rPr>
          <w:i/>
          <w:color w:val="556059"/>
          <w:sz w:val="16"/>
        </w:rPr>
        <w:t>Den här mallen är allmän information och utgör inte juridisk rådgivning. Den ersätter inte er egen riskbedömning, tillverkarens bruksanvisning eller kontakt med berörd myndighet. Föreskrifter ändras — kontrollera aktuell lydelse hos utgivaren. RoboService Nordic AB, Företagsgatan 17, 233 51 Svedala. 010-214 62 22. roboservice.se</w:t>
      </w:r>
    </w:p>
    <w:sectPr w:rsidR="00FC693F" w:rsidRPr="0006063C" w:rsidSect="00034616">
      <w:pgSz w:w="12240" w:h="15840"/>
      <w:pgMar w:top="1020" w:right="1134" w:bottom="90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